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F0" w:rsidRDefault="001B72F0" w:rsidP="001B72F0">
      <w:pPr>
        <w:spacing w:before="100" w:beforeAutospacing="1" w:after="100" w:afterAutospacing="1" w:line="240" w:lineRule="auto"/>
        <w:jc w:val="center"/>
        <w:outlineLvl w:val="1"/>
        <w:rPr>
          <w:rFonts w:ascii="Kalpurush" w:eastAsia="Times New Roman" w:hAnsi="Kalpurush" w:cs="Kalpurush"/>
          <w:b/>
          <w:bCs/>
          <w:sz w:val="44"/>
          <w:szCs w:val="44"/>
          <w:lang w:bidi="bn-IN"/>
        </w:rPr>
      </w:pPr>
    </w:p>
    <w:p w:rsidR="00F24C57" w:rsidRPr="001B72F0" w:rsidRDefault="00F24C57" w:rsidP="001B72F0">
      <w:pPr>
        <w:spacing w:before="100" w:beforeAutospacing="1" w:after="100" w:afterAutospacing="1" w:line="240" w:lineRule="auto"/>
        <w:jc w:val="center"/>
        <w:outlineLvl w:val="1"/>
        <w:rPr>
          <w:rFonts w:ascii="Kalpurush" w:eastAsia="Times New Roman" w:hAnsi="Kalpurush" w:cs="Kalpurush"/>
          <w:b/>
          <w:bCs/>
          <w:sz w:val="44"/>
          <w:szCs w:val="44"/>
        </w:rPr>
      </w:pPr>
      <w:bookmarkStart w:id="0" w:name="_GoBack"/>
      <w:bookmarkEnd w:id="0"/>
      <w:r w:rsidRPr="001B72F0">
        <w:rPr>
          <w:rFonts w:ascii="Kalpurush" w:eastAsia="Times New Roman" w:hAnsi="Kalpurush" w:cs="Kalpurush"/>
          <w:b/>
          <w:bCs/>
          <w:sz w:val="44"/>
          <w:szCs w:val="44"/>
          <w:cs/>
          <w:lang w:bidi="bn-IN"/>
        </w:rPr>
        <w:t>তাগুতি হুকুমতের অধীনে চাকরি করার বিধান</w:t>
      </w:r>
    </w:p>
    <w:p w:rsidR="00F24C57" w:rsidRPr="001B72F0" w:rsidRDefault="00F24C57" w:rsidP="001B72F0">
      <w:pPr>
        <w:spacing w:after="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আস-সালামু আলাইকুম ওয়ারাহমাতুল্লাহি ওয়াবারাকাতুহ।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  <w:lang w:bidi="bn-IN"/>
        </w:rPr>
      </w:pPr>
      <w:r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  <w:cs/>
          <w:lang w:bidi="bn-IN"/>
        </w:rPr>
        <w:t>ইরাকের তাগুত সরকারের বিদ্যালয়ে নিয়োগ হওয়া এবং শিক্ষক হিসাবে চাকুরী করার বিধান কি</w:t>
      </w:r>
      <w:r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</w:rPr>
        <w:t>?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  <w:cs/>
          <w:lang w:bidi="bn-IN"/>
        </w:rPr>
        <w:t>প্রশ্নকারী: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="00312D51"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আবু উবায়দা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  <w:cs/>
          <w:lang w:bidi="bn-IN"/>
        </w:rPr>
        <w:t>উত্তর: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সমস্ত প্রশংসা আল্লাহর জন্য যিনি জগতসমূহের প্রতিপালক। দুরূদ ও সালাম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বর্ষিত হোক সর্বশেষ নবী ও সর্বশেষ রাসূলের উপর এবং তাঁর পরিবারবর্গ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সাহাবা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ও যারা কিয়ামত পর্যন্ত তাদের যথাযথ অনুসরণ করবে তাদের উপর।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আম্মাবাদ!</w:t>
      </w:r>
      <w:r w:rsid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প্রশ্নকারী ভাই! আল্লাহ আপনাকে ও আমাদেরকে সে কাজ করার তাওফিক দান করুন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যা তিনি ভালবাসেন এবং যাতে তিনি সন্তুষ্ট হন।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জেনে রাখুন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তাগুতী শাসনব্যবস্থার বিভিন্ন পদে চাকুরী করার বিধান- চাই সেটা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ইরাকে হোক বা অন্য কোন মুসলিম দেশে হোক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যেখানে কুফরী বিধি-বিধান বিজয়ী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এবং কুফরের কর্তারা নেতৃত্ব দেয়- তা তিনটি বিধানের যেকোন একটির বাইরে হবে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না।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</w:p>
    <w:p w:rsidR="001B72F0" w:rsidRDefault="001B72F0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১. হয়তো কুফরী হবে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২. নয়ত হারাম হবে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৩. নয়ত মাকরূহ হবে।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প্রতিটি হুকুম সাব্যস্ত হবে হুকুমের ইল্লত ও কারণের বিশ্লেষণের ভিত্তিতে।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  <w:lang w:bidi="bn-IN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lastRenderedPageBreak/>
        <w:sym w:font="Symbol" w:char="F0A7"/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যখন চাকুরির মধ্যে উক্ত হুকুমত ও তার কর্তাদের সাথে বন্ধুত্ব করা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তাদের সমর্থন ও সহযোগীতা করা এবং তাদের আইন ও বিধানের সমর্থন ও সহযোগীতা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করা পাওয়া যাবে- এটা চাই উক্ত শাসনব্যবস্থার প্রতি আহ্বান করার মাধ্যমে হোক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বা তার দ্বারা শাসন পরিচালনা করার মাধ্যমে হোক বা সন্তুষ্টি ও গ্রহণের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সাথে তার নিকট বিচার প্রার্থনা করার মাধ্যমে হোক- তাহলে কোন সন্দেহ নেই যে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এধরণের পদে চাকুরী করা প্রকাশ্য কুফর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স্পষ্ট শিরক্ এবং আল্লাহর দ্বীন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থেকে স্পষ্ট ইরতিদাদ। যে এ ধরণের পদসমূহে চাকুরী করবে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সে তাগুতদেরকে বর্জন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করার সেই আবশ্যকীয় রুকনটি ভঙ্গ করল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যেটা ব্যতিত কারো ইসলাম গ্রহণই সহীহ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হয় না।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  <w:lang w:bidi="bn-IN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sym w:font="Symbol" w:char="F0A7"/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আর যখন চাকুরীতে উক্ত তাগুতী হুকুমতকে মানুষের উপর জুলুম করার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ব্যাপারে অথবা অন্যায়ভাবে মানুষের মাল ভক্ষণ করার ব্যাপারে সাহায্য করা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হবে- যেমন ট্যাক্স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টোল বা কোন কোন দেশে যেগুলোকে রাজস্ব বলে নামকরণ করা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হয়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তা উসূলকারী হওয়া বা তাগুত সরকারকে সুদ খাওয়ার ক্ষেত্রে সাহায্য করা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যেমন তাগুতরা জনগণকে প্রথমে সংকীর্ণতায় ফেলে দেওয়ার পর ব্যবসার জন্য বা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কৃষির জন্য সুদভিত্তিক যে ঋণ দেয়্ এবং এর ফলে জনগণ যা নিতে বাধ্য হয়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সেই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সমস্ত মুআমালার লেখক বা সাক্ষী হওয়া- এ ধরণের পদে চাকুরী করা অকাট্যভাবে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হারাম এবং কবিরাহ গুনাহসমূহের মধ্যে অন্যতম কবিরাহ গুনাহ।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যে এ সমস্ত পদে চাকুরী করে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সে তাগুতকে পরিপূর্ণ বর্জন করার সেই ওয়াজিব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হুকুমটি পালন করল না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যা উক্ত গুনাহের পরিমাণ অনুযায়ী ঈমানকে ত্রুটিপূর্ণ ও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দুর্বল করে দেয়।</w:t>
      </w:r>
      <w:r w:rsid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sym w:font="Symbol" w:char="F0A7"/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তবে যদি চাকুরীর মধ্যে পুর্বোক্ত দু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>’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টি কারণের কোন কারণ না পাওয়া যায়-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যেমন ওয়াকফের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ইমাম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তাদের খতিব ও মুআয্যিন অথবা শিক্ষা ও তরবিয়ত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মন্ত্রণালয়ে শিক্ষক বা অন্য কোন কর্মকর্তা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;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স্বাস্থ মন্ত্রণালয় বা পৌরসভার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কর্মকর্তারা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কিংবা অন্যান্য ঐ সকল পদ যেগুলোতে চাকুরীকারী ব্যক্তির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সর্বনিম্ন অবস্থা হয় এই যে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সে ঐ সরকারের দল ভারিকারী এবং তার পদতলে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লাঞ্ছিত ও অবনত থাকে- তাহলে এ ধরণের চাকুরীতে যদি অন্য কোন গুনাহ না পাওয়া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যায়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তবে এটা আমরা এক্ষণে যে হুকুমগুলো উল্লেখ করলাম তার মধ্যে তৃতীয়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নম্বরটি হবে। অর্থাৎ মাকরুহ হবে। অতএব এ ধরণের চাকুরিকারী ব্যক্তি তাগুতকে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পরিপূর্ণ বর্জন করার মুস্তাহাব অংশটি বাস্তবায়ন করল না।</w:t>
      </w:r>
    </w:p>
    <w:p w:rsidR="001B72F0" w:rsidRDefault="001B72F0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>
        <w:rPr>
          <w:rFonts w:ascii="Kalpurush" w:eastAsia="Times New Roman" w:hAnsi="Kalpurush" w:cs="Kalpurush"/>
          <w:color w:val="0000FF"/>
          <w:sz w:val="27"/>
          <w:szCs w:val="27"/>
        </w:rPr>
        <w:lastRenderedPageBreak/>
        <w:br/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আমাদের শায়খ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="00F24C57"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  <w:cs/>
          <w:lang w:bidi="bn-IN"/>
        </w:rPr>
        <w:t>আবু মুহাম্মদ আল-মাকদিসি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(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হাফিজাহুল্লাহ) তার পুস্তক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="00F24C57"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</w:rPr>
        <w:t>“</w:t>
      </w:r>
      <w:r w:rsidR="00F24C57"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  <w:cs/>
          <w:lang w:bidi="bn-IN"/>
        </w:rPr>
        <w:t>আলইশরাকাহ ফি সুওয়ালাতে সাওয়াকা</w:t>
      </w:r>
      <w:r w:rsidR="00F24C57"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</w:rPr>
        <w:t>”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এর দ্বিতীয় মাসআলায় বলেন-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আমরা যেটা বলেছি এবং বলবো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তা হল: আমরা একজন তাওহিদবাদী ভাইয়ের জন্য এটাই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চাই যে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তিনি এই তাগুতী শাসনব্যস্থাকে পরিপূর্ণ বর্জন করার জন্য তা থেকে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পরিপূর্ণ দূরে থাকবেন। কোন সন্দেহ নেই যে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প্রতিটি তাওহিদবাদীর জীবন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পরিচালনার নীতিমালা হল আল্লাহ তা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>’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আলার বাণী-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>{</w:t>
      </w:r>
      <w:r w:rsidRPr="001B72F0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</w:rPr>
        <w:t>أن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</w:rPr>
        <w:t>اعبدوا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</w:rPr>
        <w:t>الله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</w:rPr>
        <w:t>واجتنبوا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</w:rPr>
        <w:t>الطاغوت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>} “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তোমরা আল্লাহর ইবাদত করো আর তাগুত থেকে বেঁচে থাক।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>”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এটাই লা ইলাহা ইল্লাল্লাহ এর অর্থ। কিন্তু এর থেকে (অর্থাৎ তাগুতকে বর্জন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করার পর্যায়সমূহ থেকে) কিছু হল ঈমানের জন্য শর্ত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যা পরিত্যাগ করা ঈমানকে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ভঙ্গ করে দেয়। যেমন তাগুতের ইবাদত করা থেকে দূরে থাকা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ইচ্ছাকৃতভাবে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তাগুতদের নিকট বিচার প্রার্থনা করা থেকে বিরত থাকা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তাগুতদের কুফরী আইন ও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বিধি-বিধানের প্রহরা দেওয়া বা তাকে শ্রদ্ধা করার ব্যাপারে শপথ করা বা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এজাতীয় বিষয়গুলো থেকে বিরত থাকা।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  <w:lang w:bidi="bn-IN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আর কিছু হল ঈমানের পূর্ণাঙ্গতার অংশ। এগুলো পরিত্যাগ করা ঈমানকে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ত্রুটিপূর্ণ করে দেয়। কিন্তু ঈমানকে ভেঙ্গে দেয় না। যেমন তাগুতের প্রতি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কিছুটা নতঝানু হওয়া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শৈথিল্য করা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তাদের জুলুমের ক্ষেত্রে তাদের দল ভারী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করা বা এজাতীয় গুনাহগুলো।</w:t>
      </w:r>
    </w:p>
    <w:p w:rsid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b/>
          <w:bCs/>
          <w:color w:val="0000FF"/>
          <w:sz w:val="27"/>
          <w:szCs w:val="27"/>
        </w:rPr>
      </w:pPr>
      <w:r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  <w:cs/>
          <w:lang w:bidi="bn-IN"/>
        </w:rPr>
        <w:t>অত:পর শায়খ (হাফিযাহুল্লাহ) এই মাসআলার টীকায় লিখেন:</w:t>
      </w:r>
      <w:r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</w:rPr>
        <w:t xml:space="preserve"> </w:t>
      </w:r>
    </w:p>
    <w:p w:rsidR="00F24C57" w:rsidRPr="001B72F0" w:rsidRDefault="00F24C57" w:rsidP="001B72F0">
      <w:pPr>
        <w:spacing w:after="27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এর দ্বারা এ সকল গুনাহর ব্যাপারে শৈথিল্যতা বুঝা উচিত নয়। কারণ এগুলোর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মধ্যে কতিপয় আছে কবিরা গুনাহের অন্তর্ভূক্ত। তবে আমাদের কথার উদ্দেশ্য ছিল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এ সকল গুনাহকে কুফরী কাজ থেকে পৃথক করা। যার গ্রহণকারী অন্তর রয়েছে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তার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জন্য আল্লাহ তা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>’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আলার এই ধমকি বাণীই যথেষ্ট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যা আল্লাহ তা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>’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আলা পবিত্র কুরআনে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কাফেরদের প্রতি সামান্য ঝুঁকে যাওয়ার ব্যাপারে উল্লেখ করেছেন-</w:t>
      </w:r>
    </w:p>
    <w:p w:rsidR="00F24C57" w:rsidRPr="001B72F0" w:rsidRDefault="00F24C57" w:rsidP="001B72F0">
      <w:pPr>
        <w:spacing w:after="0" w:line="240" w:lineRule="auto"/>
        <w:jc w:val="center"/>
        <w:rPr>
          <w:rFonts w:ascii="Kalpurush" w:eastAsia="Times New Roman" w:hAnsi="Kalpurush" w:cs="KFGQPC Uthman Taha Naskh"/>
          <w:color w:val="0000FF"/>
          <w:sz w:val="27"/>
          <w:szCs w:val="27"/>
        </w:rPr>
      </w:pP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ولولا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أن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ثبتناك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لقد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كدت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تركن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إليهم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شيئاً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قليلاً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إذا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لأذقناك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ضعف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الحياة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والضعف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الممات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ثم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لا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تجد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لك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علينا</w:t>
      </w:r>
      <w:r w:rsidRPr="001B72F0">
        <w:rPr>
          <w:rFonts w:ascii="Kalpurush" w:eastAsia="Times New Roman" w:hAnsi="Kalpurush" w:cs="KFGQPC Uthman Taha Naskh"/>
          <w:color w:val="0000FF"/>
          <w:sz w:val="27"/>
          <w:szCs w:val="27"/>
          <w:rtl/>
        </w:rPr>
        <w:t xml:space="preserve"> </w:t>
      </w:r>
      <w:r w:rsidRPr="001B72F0">
        <w:rPr>
          <w:rFonts w:ascii="Times New Roman" w:eastAsia="Times New Roman" w:hAnsi="Times New Roman" w:cs="KFGQPC Uthman Taha Naskh" w:hint="cs"/>
          <w:color w:val="0000FF"/>
          <w:sz w:val="27"/>
          <w:szCs w:val="27"/>
          <w:rtl/>
        </w:rPr>
        <w:t>نصيرا</w:t>
      </w:r>
    </w:p>
    <w:p w:rsidR="001B72F0" w:rsidRDefault="00F24C57" w:rsidP="001B72F0">
      <w:pPr>
        <w:spacing w:after="100" w:line="240" w:lineRule="auto"/>
        <w:jc w:val="both"/>
        <w:rPr>
          <w:rFonts w:ascii="Kalpurush" w:eastAsia="Times New Roman" w:hAnsi="Kalpurush" w:cs="Kalpurush"/>
          <w:color w:val="FF0000"/>
          <w:sz w:val="27"/>
          <w:szCs w:val="27"/>
        </w:rPr>
      </w:pPr>
      <w:r w:rsidRPr="001B72F0">
        <w:rPr>
          <w:rFonts w:ascii="Kalpurush" w:eastAsia="Times New Roman" w:hAnsi="Kalpurush" w:cs="Kalpurush"/>
          <w:color w:val="FF0000"/>
          <w:sz w:val="27"/>
          <w:szCs w:val="27"/>
        </w:rPr>
        <w:lastRenderedPageBreak/>
        <w:t>“</w:t>
      </w:r>
      <w:r w:rsidRPr="001B72F0">
        <w:rPr>
          <w:rFonts w:ascii="Kalpurush" w:eastAsia="Times New Roman" w:hAnsi="Kalpurush" w:cs="Kalpurush"/>
          <w:color w:val="FF0000"/>
          <w:sz w:val="27"/>
          <w:szCs w:val="27"/>
          <w:cs/>
          <w:lang w:bidi="bn-IN"/>
        </w:rPr>
        <w:t>আমি যদি তোমাকে</w:t>
      </w:r>
      <w:r w:rsidRPr="001B72F0">
        <w:rPr>
          <w:rFonts w:ascii="Kalpurush" w:eastAsia="Times New Roman" w:hAnsi="Kalpurush" w:cs="Kalpurush"/>
          <w:color w:val="FF0000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FF0000"/>
          <w:sz w:val="27"/>
          <w:szCs w:val="27"/>
          <w:cs/>
          <w:lang w:bidi="bn-IN"/>
        </w:rPr>
        <w:t>অবিচলিত না রাখতাম</w:t>
      </w:r>
      <w:r w:rsidRPr="001B72F0">
        <w:rPr>
          <w:rFonts w:ascii="Kalpurush" w:eastAsia="Times New Roman" w:hAnsi="Kalpurush" w:cs="Kalpurush"/>
          <w:color w:val="FF0000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FF0000"/>
          <w:sz w:val="27"/>
          <w:szCs w:val="27"/>
          <w:cs/>
          <w:lang w:bidi="bn-IN"/>
        </w:rPr>
        <w:t>তবে তুমিও তাদের দিকে খানিকটা ঝুঁকে পড়ার উপক্রম হতে।</w:t>
      </w:r>
      <w:r w:rsidRPr="001B72F0">
        <w:rPr>
          <w:rFonts w:ascii="Kalpurush" w:eastAsia="Times New Roman" w:hAnsi="Kalpurush" w:cs="Kalpurush"/>
          <w:color w:val="FF0000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FF0000"/>
          <w:sz w:val="27"/>
          <w:szCs w:val="27"/>
          <w:cs/>
          <w:lang w:bidi="bn-IN"/>
        </w:rPr>
        <w:t>আর তাহলে আমি দুনিয়ায়ও তোমাকে দিগুণ শাস্তি দিতাম এবং মৃত্যুর পরেও দিগুণ।</w:t>
      </w:r>
      <w:r w:rsidRPr="001B72F0">
        <w:rPr>
          <w:rFonts w:ascii="Kalpurush" w:eastAsia="Times New Roman" w:hAnsi="Kalpurush" w:cs="Kalpurush"/>
          <w:color w:val="FF0000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FF0000"/>
          <w:sz w:val="27"/>
          <w:szCs w:val="27"/>
          <w:cs/>
          <w:lang w:bidi="bn-IN"/>
        </w:rPr>
        <w:t>অত</w:t>
      </w:r>
      <w:proofErr w:type="gramStart"/>
      <w:r w:rsidRPr="001B72F0">
        <w:rPr>
          <w:rFonts w:ascii="Kalpurush" w:eastAsia="Times New Roman" w:hAnsi="Kalpurush" w:cs="Kalpurush"/>
          <w:color w:val="FF0000"/>
          <w:sz w:val="27"/>
          <w:szCs w:val="27"/>
          <w:cs/>
          <w:lang w:bidi="bn-IN"/>
        </w:rPr>
        <w:t>:পর</w:t>
      </w:r>
      <w:proofErr w:type="gramEnd"/>
      <w:r w:rsidRPr="001B72F0">
        <w:rPr>
          <w:rFonts w:ascii="Kalpurush" w:eastAsia="Times New Roman" w:hAnsi="Kalpurush" w:cs="Kalpurush"/>
          <w:color w:val="FF0000"/>
          <w:sz w:val="27"/>
          <w:szCs w:val="27"/>
          <w:cs/>
          <w:lang w:bidi="bn-IN"/>
        </w:rPr>
        <w:t xml:space="preserve"> আমার বিরুদ্ধে তুমি কোন সাহায্যকারী পেতে না।</w:t>
      </w:r>
      <w:r w:rsidRPr="001B72F0">
        <w:rPr>
          <w:rFonts w:ascii="Kalpurush" w:eastAsia="Times New Roman" w:hAnsi="Kalpurush" w:cs="Kalpurush"/>
          <w:color w:val="FF0000"/>
          <w:sz w:val="27"/>
          <w:szCs w:val="27"/>
        </w:rPr>
        <w:t>”</w:t>
      </w:r>
    </w:p>
    <w:p w:rsidR="001B72F0" w:rsidRDefault="00F24C57" w:rsidP="001B72F0">
      <w:pPr>
        <w:spacing w:after="10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  <w:lang w:bidi="bn-IN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এ ছিল সাধারণভাবে সকল মুসলিম দেশে বিরাজমান তাগুতী শাসনব্যবস্থায় যোগ দেওয়া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বা সেখানে চাকুরী করার ব্যাপারে। এবার আসি ইরাকের তাগুতী শাসনব্যবস্থায়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যোগ দেওয়া ও তাতে চাকুরী করার প্রসঙ্গে। সেখানকার অবস্থা তো সকলের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জানাশোনা। যুদ্ধের আগুন জ্বলে উঠেছে। আল্লাহর সাথে শরীককারী ক্রুসেডের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পূজারী এবং ইসলামের রক্ষক ও তাওহিদের সৈনিকদের মাঝে ঘোরতর লড়াই চলছে।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রহমানের বন্ধু আর শয়তানের বন্ধুদের মাঝে যুদ্ধের চাকা ঘুরপাক খাচ্ছে। তাই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যদি কিছু বৈধ বিষয় থাকার কারণে সেখানে অধ্যাপনাকারী কাফের সাব্যস্ত নাও হয়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বা গুনাহগার নাও হয়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>, -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যেমন অঙ্কশাস্ত্র বা এজাতীয় বিষয় যেগুলোতে তাগুতী আইন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ও তার শাসকদেরকে সম্মান করা হয় না- তথাপিও সে গুনাহগার হবে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যদি এই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আগ্রাসনের ছত্রছায়ায় থেকে তার মুজাহিদ ভাইদের সাহায্য পরিত্যাগ করে এবং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আল্লাহর পথে জিহাদ ছেড়ে দেয়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যেটা সবচেয়ে গুরুত্বপূর্ণ ফরজে আইন। শায়খুল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ইসলাম ইবনে তাইমিয়া রহ. বলেন: যে আগ্রাসী দুশমন দ্বীন-দুনিয়া সব বরবাদ করে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দেয়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ঈমানের পর তাকে দমন করা থেকে বড় আবশ্যকীয় বিষয় আর কিছু নেই।</w:t>
      </w:r>
    </w:p>
    <w:p w:rsidR="001B72F0" w:rsidRDefault="00F24C57" w:rsidP="001B72F0">
      <w:pPr>
        <w:spacing w:after="10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  <w:lang w:bidi="bn-IN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একারণে হে প্রশ্নকারী ভাই! আমি আপনাকে উপদেশ দিব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আপনি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  <w:cs/>
          <w:lang w:bidi="bn-IN"/>
        </w:rPr>
        <w:t>দাওলাতুল ইরাক আলইসলামিয়ার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সেনাবাহিনীর অন্তর্ভূক্ত হওয়ার সুযোগ হাতছাড়া করবেন না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যারা তাওহিদ ও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জিহাদের পতাকা সুউচ্চ করেছে। আপনি তাদের কর্মী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তাদের সাহায্যকারী ও তাদের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দলভূক্ত হওয়ার প্রতি আগ্রহি হোন। এমনকি যদি শুধু তাদের দল ভারি করা ব্যতিত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আর কিছুই না করতে পারেন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তবে এর মধ্যেও শৈথিল্য করবেন না।</w:t>
      </w:r>
    </w:p>
    <w:p w:rsidR="001B72F0" w:rsidRDefault="001B72F0" w:rsidP="001B72F0">
      <w:pPr>
        <w:spacing w:after="10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  <w:lang w:bidi="bn-IN"/>
        </w:rPr>
      </w:pPr>
      <w:r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আল্লাহ আমাদের ও আপনাদের ঐ সকল বিষয়ে আগ্রহ বাড়িয়ে দিন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, 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যা আমাদেরকে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আল্লাহর নিকটবর্তী করবে এবং আমাদের প্রতি আল্লাহকে সন্তুষ্ট করবে। এ ছিল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</w:rPr>
        <w:t xml:space="preserve"> </w:t>
      </w:r>
      <w:r w:rsidR="00F24C57"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 xml:space="preserve">আমার কথা। </w:t>
      </w:r>
    </w:p>
    <w:p w:rsidR="001B72F0" w:rsidRDefault="00F24C57" w:rsidP="001B72F0">
      <w:pPr>
        <w:spacing w:after="100" w:line="240" w:lineRule="auto"/>
        <w:jc w:val="both"/>
        <w:rPr>
          <w:rFonts w:ascii="Kalpurush" w:eastAsia="Times New Roman" w:hAnsi="Kalpurush" w:cs="Kalpurush"/>
          <w:color w:val="0000FF"/>
          <w:sz w:val="27"/>
          <w:szCs w:val="27"/>
          <w:lang w:bidi="bn-IN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প্রকৃতপক্ষে আল্লাহই সর্বজ্ঞানী ও প্রজ্ঞাশীল।</w:t>
      </w:r>
    </w:p>
    <w:p w:rsidR="00F24C57" w:rsidRPr="001B72F0" w:rsidRDefault="00F24C57" w:rsidP="001B72F0">
      <w:pPr>
        <w:spacing w:after="100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1B72F0">
        <w:rPr>
          <w:rFonts w:ascii="Kalpurush" w:eastAsia="Times New Roman" w:hAnsi="Kalpurush" w:cs="Kalpurush"/>
          <w:color w:val="0000FF"/>
          <w:sz w:val="27"/>
          <w:szCs w:val="27"/>
          <w:cs/>
          <w:lang w:bidi="bn-IN"/>
        </w:rPr>
        <w:t>ওয়াসাল্লাল্লঅহু আলা নাবিয়্যিনা মুহাম্মদিও ওয়ালা আলিহি ওয়াসাহবিহি আজমাঈন।</w:t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color w:val="FF0000"/>
          <w:sz w:val="27"/>
          <w:szCs w:val="27"/>
        </w:rPr>
        <w:lastRenderedPageBreak/>
        <w:br/>
      </w:r>
      <w:r w:rsidRPr="001B72F0">
        <w:rPr>
          <w:rFonts w:ascii="Kalpurush" w:eastAsia="Times New Roman" w:hAnsi="Kalpurush" w:cs="Kalpurush"/>
          <w:b/>
          <w:bCs/>
          <w:color w:val="FF0000"/>
          <w:sz w:val="27"/>
          <w:szCs w:val="27"/>
          <w:cs/>
          <w:lang w:bidi="bn-IN"/>
        </w:rPr>
        <w:t>উত্তর প্রদান করেছেন:</w:t>
      </w:r>
      <w:r w:rsidRPr="001B72F0">
        <w:rPr>
          <w:rFonts w:ascii="Kalpurush" w:eastAsia="Times New Roman" w:hAnsi="Kalpurush" w:cs="Kalpurush"/>
          <w:b/>
          <w:bCs/>
          <w:color w:val="FF0000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  <w:cs/>
          <w:lang w:bidi="bn-IN"/>
        </w:rPr>
        <w:t>আল-লাজনাতুশ শরইয়্যাহ এর সদস্য শায়খ আবুন নুর আল-ফিলিস্তিনী।</w:t>
      </w:r>
      <w:r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b/>
          <w:bCs/>
          <w:color w:val="0000FF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</w:rPr>
        <w:br/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</w:rPr>
        <w:br/>
        <w:t>[</w:t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  <w:cs/>
          <w:lang w:bidi="bn-IN"/>
        </w:rPr>
        <w:t>বি.দ্র. এ প্রশ্ন</w:t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  <w:cs/>
          <w:lang w:bidi="bn-IN"/>
        </w:rPr>
        <w:t>করা হয়েছে ২০০৯ ইং সালে। দাওলাতুল ইরাক তখনোও এতোটা</w:t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  <w:cs/>
          <w:lang w:bidi="bn-IN"/>
        </w:rPr>
        <w:t>গুমরাহিতে লিপ্ত হয়নি</w:t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</w:rPr>
        <w:t xml:space="preserve">, </w:t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  <w:cs/>
          <w:lang w:bidi="bn-IN"/>
        </w:rPr>
        <w:t>যেমনটা পরে হয়েছে। এ কারণে তখন দাওলাতুল ইরাকে যোগ</w:t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</w:rPr>
        <w:t xml:space="preserve"> </w:t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  <w:cs/>
          <w:lang w:bidi="bn-IN"/>
        </w:rPr>
        <w:t>দেয়ার কথা বলা হয়েছিল। বর্তমান অবস্থা সম্পূর্ণ ব্যতিক্রম।]</w:t>
      </w:r>
      <w:r w:rsidRPr="001B72F0">
        <w:rPr>
          <w:rFonts w:ascii="Kalpurush" w:eastAsia="Times New Roman" w:hAnsi="Kalpurush" w:cs="Kalpurush"/>
          <w:b/>
          <w:bCs/>
          <w:color w:val="A52A2A"/>
          <w:sz w:val="27"/>
          <w:szCs w:val="27"/>
        </w:rPr>
        <w:t xml:space="preserve"> </w:t>
      </w:r>
    </w:p>
    <w:p w:rsidR="004204FA" w:rsidRPr="001B72F0" w:rsidRDefault="004204FA" w:rsidP="001B72F0">
      <w:pPr>
        <w:jc w:val="both"/>
        <w:rPr>
          <w:rFonts w:ascii="Kalpurush" w:hAnsi="Kalpurush" w:cs="Kalpurush"/>
        </w:rPr>
      </w:pPr>
    </w:p>
    <w:sectPr w:rsidR="004204FA" w:rsidRPr="001B72F0" w:rsidSect="004204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4C57"/>
    <w:rsid w:val="001B72F0"/>
    <w:rsid w:val="00312D51"/>
    <w:rsid w:val="004204FA"/>
    <w:rsid w:val="00E637B2"/>
    <w:rsid w:val="00F24C57"/>
    <w:rsid w:val="00FA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4FA"/>
  </w:style>
  <w:style w:type="paragraph" w:styleId="Heading2">
    <w:name w:val="heading 2"/>
    <w:basedOn w:val="Normal"/>
    <w:link w:val="Heading2Char"/>
    <w:uiPriority w:val="9"/>
    <w:qFormat/>
    <w:rsid w:val="00F24C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24C5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0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0764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</dc:creator>
  <cp:lastModifiedBy>user05</cp:lastModifiedBy>
  <cp:revision>4</cp:revision>
  <dcterms:created xsi:type="dcterms:W3CDTF">2018-07-17T07:58:00Z</dcterms:created>
  <dcterms:modified xsi:type="dcterms:W3CDTF">2019-10-26T14:32:00Z</dcterms:modified>
</cp:coreProperties>
</file>